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cs="仿宋_GB2312" w:asciiTheme="majorEastAsia" w:hAnsiTheme="majorEastAsia" w:eastAsiaTheme="majorEastAsia"/>
          <w:color w:val="000000" w:themeColor="text1"/>
          <w:sz w:val="44"/>
          <w:szCs w:val="44"/>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附件</w:t>
      </w:r>
      <w:r>
        <w:rPr>
          <w:rFonts w:hint="eastAsia" w:ascii="宋体" w:hAnsi="宋体" w:eastAsia="宋体" w:cs="宋体"/>
          <w:b/>
          <w:bCs/>
          <w:color w:val="000000" w:themeColor="text1"/>
          <w:sz w:val="32"/>
          <w:szCs w:val="32"/>
          <w:lang w:val="en-US" w:eastAsia="zh-CN"/>
          <w14:textFill>
            <w14:solidFill>
              <w14:schemeClr w14:val="tx1"/>
            </w14:solidFill>
          </w14:textFill>
        </w:rPr>
        <w:t>1</w:t>
      </w:r>
      <w:r>
        <w:rPr>
          <w:rFonts w:hint="eastAsia" w:ascii="宋体" w:hAnsi="宋体" w:eastAsia="宋体" w:cs="宋体"/>
          <w:b/>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厦门市高新技术发展协会服务内容</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及202</w:t>
      </w:r>
      <w:r>
        <w:rPr>
          <w:rFonts w:hint="eastAsia" w:ascii="宋体" w:hAnsi="宋体" w:eastAsia="宋体" w:cs="宋体"/>
          <w:b/>
          <w:bCs/>
          <w:color w:val="000000" w:themeColor="text1"/>
          <w:sz w:val="44"/>
          <w:szCs w:val="44"/>
          <w:lang w:val="en-US" w:eastAsia="zh-CN"/>
          <w14:textFill>
            <w14:solidFill>
              <w14:schemeClr w14:val="tx1"/>
            </w14:solidFill>
          </w14:textFill>
        </w:rPr>
        <w:t>3</w:t>
      </w:r>
      <w:r>
        <w:rPr>
          <w:rFonts w:hint="eastAsia" w:ascii="宋体" w:hAnsi="宋体" w:eastAsia="宋体" w:cs="宋体"/>
          <w:b/>
          <w:bCs/>
          <w:color w:val="000000" w:themeColor="text1"/>
          <w:sz w:val="44"/>
          <w:szCs w:val="44"/>
          <w14:textFill>
            <w14:solidFill>
              <w14:schemeClr w14:val="tx1"/>
            </w14:solidFill>
          </w14:textFill>
        </w:rPr>
        <w:t>年度工作开展情况</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厦门市高新技术发展协会（</w:t>
      </w:r>
      <w:r>
        <w:rPr>
          <w:rFonts w:hint="eastAsia" w:ascii="仿宋" w:hAnsi="仿宋" w:eastAsia="仿宋" w:cs="仿宋"/>
          <w:color w:val="000000" w:themeColor="text1"/>
          <w:sz w:val="30"/>
          <w:szCs w:val="30"/>
          <w:lang w:eastAsia="zh-CN"/>
          <w14:textFill>
            <w14:solidFill>
              <w14:schemeClr w14:val="tx1"/>
            </w14:solidFill>
          </w14:textFill>
        </w:rPr>
        <w:t>以下</w:t>
      </w:r>
      <w:r>
        <w:rPr>
          <w:rFonts w:hint="eastAsia" w:ascii="仿宋" w:hAnsi="仿宋" w:eastAsia="仿宋" w:cs="仿宋"/>
          <w:color w:val="000000" w:themeColor="text1"/>
          <w:sz w:val="30"/>
          <w:szCs w:val="30"/>
          <w14:textFill>
            <w14:solidFill>
              <w14:schemeClr w14:val="tx1"/>
            </w14:solidFill>
          </w14:textFill>
        </w:rPr>
        <w:t>简称</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协会</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作为政府和企业间的桥梁和纽带，始终以“服务”为宗旨，积极主动为企业、为高新技术产业发展、为政府提供高质量的服务，协会是经民政部门评定的“5A”级（最高评估等级）社会组织。协会常年为会员单位及企业提供</w:t>
      </w:r>
      <w:r>
        <w:rPr>
          <w:rFonts w:hint="eastAsia" w:ascii="仿宋" w:hAnsi="仿宋" w:eastAsia="仿宋" w:cs="仿宋"/>
          <w:color w:val="000000" w:themeColor="text1"/>
          <w:sz w:val="30"/>
          <w:szCs w:val="30"/>
          <w:lang w:eastAsia="zh-CN"/>
          <w14:textFill>
            <w14:solidFill>
              <w14:schemeClr w14:val="tx1"/>
            </w14:solidFill>
          </w14:textFill>
        </w:rPr>
        <w:t>高企认定</w:t>
      </w:r>
      <w:r>
        <w:rPr>
          <w:rFonts w:hint="eastAsia" w:ascii="仿宋" w:hAnsi="仿宋" w:eastAsia="仿宋" w:cs="仿宋"/>
          <w:color w:val="000000" w:themeColor="text1"/>
          <w:sz w:val="30"/>
          <w:szCs w:val="30"/>
          <w14:textFill>
            <w14:solidFill>
              <w14:schemeClr w14:val="tx1"/>
            </w14:solidFill>
          </w14:textFill>
        </w:rPr>
        <w:t>政策咨</w:t>
      </w:r>
      <w:r>
        <w:rPr>
          <w:rFonts w:hint="eastAsia" w:ascii="仿宋" w:hAnsi="仿宋" w:eastAsia="仿宋" w:cs="仿宋"/>
          <w:color w:val="000000" w:themeColor="text1"/>
          <w:spacing w:val="-20"/>
          <w:sz w:val="30"/>
          <w:szCs w:val="30"/>
          <w14:textFill>
            <w14:solidFill>
              <w14:schemeClr w14:val="tx1"/>
            </w14:solidFill>
          </w14:textFill>
        </w:rPr>
        <w:t>询、辅导培训、国高资质维护、行业交流及</w:t>
      </w:r>
      <w:r>
        <w:rPr>
          <w:rFonts w:hint="eastAsia" w:ascii="仿宋" w:hAnsi="仿宋" w:eastAsia="仿宋" w:cs="仿宋"/>
          <w:color w:val="000000" w:themeColor="text1"/>
          <w:sz w:val="30"/>
          <w:szCs w:val="30"/>
          <w14:textFill>
            <w14:solidFill>
              <w14:schemeClr w14:val="tx1"/>
            </w14:solidFill>
          </w14:textFill>
        </w:rPr>
        <w:t>协助兑现各项优惠政策等免费服务。</w:t>
      </w:r>
    </w:p>
    <w:p>
      <w:pPr>
        <w:keepNext w:val="0"/>
        <w:keepLines w:val="0"/>
        <w:pageBreakBefore w:val="0"/>
        <w:widowControl w:val="0"/>
        <w:kinsoku/>
        <w:wordWrap/>
        <w:overflowPunct/>
        <w:topLinePunct w:val="0"/>
        <w:autoSpaceDE/>
        <w:autoSpaceDN/>
        <w:bidi w:val="0"/>
        <w:adjustRightInd w:val="0"/>
        <w:snapToGrid w:val="0"/>
        <w:spacing w:line="480" w:lineRule="exact"/>
        <w:ind w:firstLine="645"/>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val="en-US" w:eastAsia="zh-CN"/>
        </w:rPr>
        <w:t>一、</w:t>
      </w:r>
      <w:r>
        <w:rPr>
          <w:rFonts w:hint="eastAsia" w:ascii="仿宋" w:hAnsi="仿宋" w:eastAsia="仿宋" w:cs="仿宋"/>
          <w:b/>
          <w:bCs/>
          <w:color w:val="auto"/>
          <w:sz w:val="30"/>
          <w:szCs w:val="30"/>
        </w:rPr>
        <w:t>协会承担的主要</w:t>
      </w:r>
      <w:r>
        <w:rPr>
          <w:rFonts w:hint="eastAsia" w:ascii="仿宋" w:hAnsi="仿宋" w:eastAsia="仿宋" w:cs="仿宋"/>
          <w:b/>
          <w:bCs/>
          <w:color w:val="auto"/>
          <w:sz w:val="30"/>
          <w:szCs w:val="30"/>
          <w:lang w:eastAsia="zh-CN"/>
        </w:rPr>
        <w:t>服务</w:t>
      </w:r>
      <w:r>
        <w:rPr>
          <w:rFonts w:hint="eastAsia" w:ascii="仿宋" w:hAnsi="仿宋" w:eastAsia="仿宋" w:cs="仿宋"/>
          <w:b/>
          <w:bCs/>
          <w:color w:val="auto"/>
          <w:sz w:val="30"/>
          <w:szCs w:val="30"/>
        </w:rPr>
        <w:t>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645"/>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受市高企认定办和市科技局委托，</w:t>
      </w:r>
      <w:r>
        <w:rPr>
          <w:rFonts w:hint="eastAsia" w:ascii="仿宋" w:hAnsi="仿宋" w:eastAsia="仿宋" w:cs="仿宋"/>
          <w:color w:val="auto"/>
          <w:sz w:val="30"/>
          <w:szCs w:val="30"/>
          <w:lang w:eastAsia="zh-CN"/>
        </w:rPr>
        <w:t>配合</w:t>
      </w:r>
      <w:r>
        <w:rPr>
          <w:rFonts w:hint="eastAsia" w:ascii="仿宋" w:hAnsi="仿宋" w:eastAsia="仿宋" w:cs="仿宋"/>
          <w:color w:val="auto"/>
          <w:sz w:val="30"/>
          <w:szCs w:val="30"/>
        </w:rPr>
        <w:t>开展我市国家级高企认定、市级高企备案、省科技小巨人企业遴选和认定、未来产业骨干企业备案的政策宣讲、咨询辅导、形式审查、受理及奖励兑现等事务性工作；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645"/>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在市市场监督管理局、市检察院和市司法局的指导下，设立厦门市高新技术发展协会知识产权维权工作站、知识产权检察工作站和高新技术知识产权纠纷人民调解委员会，积极为会员单位</w:t>
      </w:r>
      <w:r>
        <w:rPr>
          <w:rFonts w:hint="eastAsia" w:ascii="仿宋" w:hAnsi="仿宋" w:eastAsia="仿宋" w:cs="仿宋"/>
          <w:color w:val="auto"/>
          <w:sz w:val="30"/>
          <w:szCs w:val="30"/>
          <w:lang w:val="en-US" w:eastAsia="zh-CN"/>
        </w:rPr>
        <w:t>免费</w:t>
      </w:r>
      <w:r>
        <w:rPr>
          <w:rFonts w:hint="eastAsia" w:ascii="仿宋" w:hAnsi="仿宋" w:eastAsia="仿宋" w:cs="仿宋"/>
          <w:color w:val="auto"/>
          <w:sz w:val="30"/>
          <w:szCs w:val="30"/>
        </w:rPr>
        <w:t>提供知识产权综合性维权服务、知识产权司法保护、法律咨询服务、仲裁调解等相关工作；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645"/>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在市委组织部及市高层次人才发展中心的指导下，协会高层次人才分会积极服务于我市高层次人才创新创业，协同保障省高层次人才认定、市“双百计划”、“留厦六条”等重大人才政策落地；配合开展人才项目资本合作展、人才服务月等市级重点活动；积极参与集美区委组织部重大人才工程辅助工作</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推动成立</w:t>
      </w:r>
      <w:r>
        <w:rPr>
          <w:rFonts w:hint="eastAsia" w:ascii="仿宋" w:hAnsi="仿宋" w:eastAsia="仿宋" w:cs="仿宋"/>
          <w:color w:val="auto"/>
          <w:sz w:val="30"/>
          <w:szCs w:val="30"/>
        </w:rPr>
        <w:t>集美国际化人</w:t>
      </w:r>
      <w:bookmarkStart w:id="0" w:name="_GoBack"/>
      <w:bookmarkEnd w:id="0"/>
      <w:r>
        <w:rPr>
          <w:rFonts w:hint="eastAsia" w:ascii="仿宋" w:hAnsi="仿宋" w:eastAsia="仿宋" w:cs="仿宋"/>
          <w:color w:val="auto"/>
          <w:sz w:val="30"/>
          <w:szCs w:val="30"/>
        </w:rPr>
        <w:t>才驿站暨金砖人才驿站</w:t>
      </w:r>
      <w:r>
        <w:rPr>
          <w:rFonts w:hint="eastAsia" w:ascii="仿宋" w:hAnsi="仿宋" w:eastAsia="仿宋" w:cs="仿宋"/>
          <w:color w:val="auto"/>
          <w:sz w:val="30"/>
          <w:szCs w:val="30"/>
          <w:lang w:eastAsia="zh-CN"/>
        </w:rPr>
        <w:t>，配合做好集美国际化人才驿站暨金砖人才驿站策划，制定相关实施方案和工作计划；</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645"/>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受市科技局委托，配合开展我市“双百计划”领军型创业人才申报材料</w:t>
      </w:r>
      <w:r>
        <w:rPr>
          <w:rFonts w:hint="eastAsia" w:ascii="仿宋" w:hAnsi="仿宋" w:eastAsia="仿宋" w:cs="仿宋"/>
          <w:color w:val="auto"/>
          <w:sz w:val="30"/>
          <w:szCs w:val="30"/>
          <w:lang w:eastAsia="zh-CN"/>
        </w:rPr>
        <w:t>受理</w:t>
      </w:r>
      <w:r>
        <w:rPr>
          <w:rFonts w:hint="eastAsia" w:ascii="仿宋" w:hAnsi="仿宋" w:eastAsia="仿宋" w:cs="仿宋"/>
          <w:color w:val="auto"/>
          <w:sz w:val="30"/>
          <w:szCs w:val="30"/>
        </w:rPr>
        <w:t>、形式审查等事务性工作；市留学人员创业扶持资金政策兑现；市生物医药与健康产业专业技术人才及“三高”企业薪金个人所得税地方留成部分奖励金兑现；配合完成厦门市市科技专家库</w:t>
      </w:r>
      <w:r>
        <w:rPr>
          <w:rFonts w:hint="eastAsia" w:ascii="仿宋" w:hAnsi="仿宋" w:eastAsia="仿宋" w:cs="仿宋"/>
          <w:color w:val="auto"/>
          <w:sz w:val="30"/>
          <w:szCs w:val="30"/>
          <w:lang w:eastAsia="zh-CN"/>
        </w:rPr>
        <w:t>专家征集、</w:t>
      </w:r>
      <w:r>
        <w:rPr>
          <w:rFonts w:hint="eastAsia" w:ascii="仿宋" w:hAnsi="仿宋" w:eastAsia="仿宋" w:cs="仿宋"/>
          <w:color w:val="auto"/>
          <w:sz w:val="30"/>
          <w:szCs w:val="30"/>
        </w:rPr>
        <w:t>入库信息审核及专家库管理等事务性工作；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645"/>
        <w:textAlignment w:val="auto"/>
        <w:rPr>
          <w:rFonts w:hint="eastAsia" w:ascii="仿宋" w:hAnsi="仿宋" w:eastAsia="仿宋" w:cs="仿宋"/>
          <w:color w:val="auto"/>
          <w:sz w:val="30"/>
          <w:szCs w:val="30"/>
        </w:rPr>
      </w:pPr>
      <w:r>
        <w:rPr>
          <w:rFonts w:hint="eastAsia" w:ascii="仿宋" w:hAnsi="仿宋" w:eastAsia="仿宋" w:cs="仿宋"/>
          <w:color w:val="auto"/>
          <w:kern w:val="2"/>
          <w:sz w:val="30"/>
          <w:szCs w:val="30"/>
          <w:lang w:eastAsia="zh-CN"/>
        </w:rPr>
        <w:t>作为厦门生物与新医药产业技术创新战略联盟秘书处</w:t>
      </w:r>
      <w:r>
        <w:rPr>
          <w:rFonts w:hint="eastAsia" w:ascii="仿宋" w:hAnsi="仿宋" w:eastAsia="仿宋" w:cs="仿宋"/>
          <w:color w:val="auto"/>
          <w:kern w:val="2"/>
          <w:sz w:val="30"/>
          <w:szCs w:val="30"/>
          <w:lang w:val="en-US" w:eastAsia="zh-CN"/>
        </w:rPr>
        <w:t>单位，</w:t>
      </w:r>
      <w:r>
        <w:rPr>
          <w:rFonts w:hint="eastAsia" w:ascii="仿宋" w:hAnsi="仿宋" w:eastAsia="仿宋" w:cs="仿宋"/>
          <w:color w:val="auto"/>
          <w:sz w:val="30"/>
          <w:szCs w:val="30"/>
          <w:lang w:eastAsia="zh-CN"/>
        </w:rPr>
        <w:t>积极</w:t>
      </w:r>
      <w:r>
        <w:rPr>
          <w:rFonts w:hint="eastAsia" w:ascii="仿宋" w:hAnsi="仿宋" w:eastAsia="仿宋" w:cs="仿宋"/>
          <w:color w:val="auto"/>
          <w:sz w:val="30"/>
          <w:szCs w:val="30"/>
        </w:rPr>
        <w:t>开展行业交流、产业需求对接</w:t>
      </w:r>
      <w:r>
        <w:rPr>
          <w:rFonts w:hint="eastAsia" w:ascii="仿宋" w:hAnsi="仿宋" w:eastAsia="仿宋" w:cs="仿宋"/>
          <w:color w:val="auto"/>
          <w:sz w:val="30"/>
          <w:szCs w:val="30"/>
          <w:lang w:eastAsia="zh-CN"/>
        </w:rPr>
        <w:t>活动，促进企业、高校院所和行业协会之间的交流互动，推进</w:t>
      </w:r>
      <w:r>
        <w:rPr>
          <w:rFonts w:hint="eastAsia" w:ascii="仿宋" w:hAnsi="仿宋" w:eastAsia="仿宋" w:cs="仿宋"/>
          <w:color w:val="auto"/>
          <w:sz w:val="30"/>
          <w:szCs w:val="30"/>
        </w:rPr>
        <w:t>行业资源</w:t>
      </w:r>
      <w:r>
        <w:rPr>
          <w:rFonts w:hint="eastAsia" w:ascii="仿宋" w:hAnsi="仿宋" w:eastAsia="仿宋" w:cs="仿宋"/>
          <w:color w:val="auto"/>
          <w:sz w:val="30"/>
          <w:szCs w:val="30"/>
          <w:lang w:eastAsia="zh-CN"/>
        </w:rPr>
        <w:t>整合</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鼓励研发创新，促进我市生物医药与健康产业高质量发展；</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645"/>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密切联系企业与政府管理部门，帮助企业充分了解并落实享受有关政策，协助会员反映问题、解决问题，为会员发展营造良好的环境；</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645"/>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积极开展产业和企业宣传，组织有关高新领域的理论研究和学术活动，开展各类信息交流、合作、展览、培训和咨询等服务工作。</w:t>
      </w:r>
    </w:p>
    <w:p>
      <w:pPr>
        <w:keepNext w:val="0"/>
        <w:keepLines w:val="0"/>
        <w:pageBreakBefore w:val="0"/>
        <w:widowControl w:val="0"/>
        <w:kinsoku/>
        <w:wordWrap/>
        <w:overflowPunct/>
        <w:topLinePunct w:val="0"/>
        <w:autoSpaceDE/>
        <w:autoSpaceDN/>
        <w:bidi w:val="0"/>
        <w:adjustRightInd w:val="0"/>
        <w:snapToGrid w:val="0"/>
        <w:spacing w:line="480" w:lineRule="exact"/>
        <w:ind w:firstLine="602" w:firstLineChars="200"/>
        <w:textAlignment w:val="auto"/>
        <w:rPr>
          <w:rFonts w:hint="eastAsia" w:ascii="仿宋_GB2312" w:hAnsi="仿宋" w:eastAsia="仿宋_GB2312" w:cs="Times New Roman"/>
          <w:b/>
          <w:bCs/>
          <w:color w:val="auto"/>
          <w:sz w:val="30"/>
          <w:szCs w:val="30"/>
          <w:lang w:val="en-US" w:eastAsia="zh-CN"/>
        </w:rPr>
      </w:pPr>
      <w:r>
        <w:rPr>
          <w:rFonts w:hint="eastAsia" w:ascii="仿宋" w:hAnsi="仿宋" w:eastAsia="仿宋" w:cs="仿宋"/>
          <w:b/>
          <w:bCs/>
          <w:color w:val="auto"/>
          <w:sz w:val="30"/>
          <w:szCs w:val="30"/>
          <w:lang w:val="en-US" w:eastAsia="zh-CN"/>
        </w:rPr>
        <w:t>二、</w:t>
      </w:r>
      <w:r>
        <w:rPr>
          <w:rFonts w:hint="eastAsia" w:ascii="仿宋_GB2312" w:hAnsi="仿宋" w:eastAsia="仿宋_GB2312" w:cs="Times New Roman"/>
          <w:b/>
          <w:bCs/>
          <w:color w:val="auto"/>
          <w:sz w:val="30"/>
          <w:szCs w:val="30"/>
          <w:lang w:val="en-US" w:eastAsia="zh-CN"/>
        </w:rPr>
        <w:t>协会2023年度工作开展情况</w:t>
      </w:r>
    </w:p>
    <w:p>
      <w:pPr>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一年来</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协会</w:t>
      </w:r>
      <w:r>
        <w:rPr>
          <w:rFonts w:hint="eastAsia" w:ascii="仿宋" w:hAnsi="仿宋" w:eastAsia="仿宋" w:cs="仿宋"/>
          <w:color w:val="auto"/>
          <w:sz w:val="30"/>
          <w:szCs w:val="30"/>
        </w:rPr>
        <w:t>立足产业升级需求，立足会员发展需求，不断延伸拓展和深化服务</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2023年</w:t>
      </w:r>
      <w:r>
        <w:rPr>
          <w:rFonts w:hint="eastAsia" w:ascii="仿宋" w:hAnsi="仿宋" w:eastAsia="仿宋" w:cs="仿宋"/>
          <w:color w:val="auto"/>
          <w:sz w:val="30"/>
          <w:szCs w:val="30"/>
          <w:lang w:eastAsia="zh-CN"/>
        </w:rPr>
        <w:t>主要工作开展情况如下：</w:t>
      </w:r>
    </w:p>
    <w:p>
      <w:pPr>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仿宋" w:hAnsi="仿宋" w:eastAsia="仿宋" w:cs="仿宋"/>
          <w:color w:val="auto"/>
          <w:sz w:val="30"/>
          <w:szCs w:val="30"/>
          <w:highlight w:val="none"/>
        </w:rPr>
      </w:pPr>
      <w:r>
        <w:rPr>
          <w:rFonts w:hint="eastAsia" w:ascii="仿宋" w:hAnsi="仿宋" w:eastAsia="仿宋" w:cs="仿宋"/>
          <w:b/>
          <w:bCs/>
          <w:color w:val="auto"/>
          <w:sz w:val="30"/>
          <w:szCs w:val="30"/>
          <w:highlight w:val="none"/>
          <w:lang w:val="en-US" w:eastAsia="zh-CN"/>
        </w:rPr>
        <w:t>1、辅导培训。</w:t>
      </w:r>
      <w:r>
        <w:rPr>
          <w:rFonts w:hint="eastAsia" w:ascii="仿宋" w:hAnsi="仿宋" w:eastAsia="仿宋" w:cs="仿宋"/>
          <w:color w:val="auto"/>
          <w:sz w:val="30"/>
          <w:szCs w:val="30"/>
          <w:highlight w:val="none"/>
        </w:rPr>
        <w:t>2023年，协会配合市科技局到各区、各行业协会商会、园区举办了两轮共26场（其中2场线上）高新技术企业认定政策专题培训，累计吸引1000多家企业超1400人次参加了线下培训；配合市科技部门、税务部门到140多家企业开展高企认定后续日常管理及高企认定实地核查。</w:t>
      </w:r>
      <w:r>
        <w:rPr>
          <w:rFonts w:hint="eastAsia" w:ascii="仿宋" w:hAnsi="仿宋" w:eastAsia="仿宋" w:cs="仿宋"/>
          <w:b/>
          <w:bCs/>
          <w:color w:val="auto"/>
          <w:sz w:val="30"/>
          <w:szCs w:val="30"/>
          <w:highlight w:val="none"/>
        </w:rPr>
        <w:t>（协会在从事高企认定咨询辅导、受理、形式审查等服务工作中均不收取任何费用。）</w:t>
      </w:r>
    </w:p>
    <w:p>
      <w:pPr>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b/>
          <w:bCs/>
          <w:color w:val="auto"/>
          <w:sz w:val="30"/>
          <w:szCs w:val="30"/>
          <w:highlight w:val="none"/>
        </w:rPr>
        <w:t>2、申报受理。</w:t>
      </w:r>
      <w:r>
        <w:rPr>
          <w:rFonts w:hint="eastAsia" w:ascii="仿宋" w:hAnsi="仿宋" w:eastAsia="仿宋" w:cs="仿宋"/>
          <w:color w:val="auto"/>
          <w:sz w:val="30"/>
          <w:szCs w:val="30"/>
          <w:highlight w:val="none"/>
        </w:rPr>
        <w:t>配合市科技局完成两批次1700多家企业国高申报辅导、受理、形式审查等事务性工作；配合开展高企认定中介机构资格确认和培训工作，最终85家中介机构获推荐资格；完成六批次65家高企的更名工作以及我市市级高企备案、省科技小巨人企业遴选和认定、高层次人才服务等事务性工作等。</w:t>
      </w:r>
    </w:p>
    <w:p>
      <w:pPr>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仿宋" w:hAnsi="仿宋" w:eastAsia="仿宋" w:cs="仿宋"/>
          <w:color w:val="auto"/>
          <w:sz w:val="30"/>
          <w:szCs w:val="30"/>
          <w:highlight w:val="none"/>
        </w:rPr>
      </w:pPr>
      <w:r>
        <w:rPr>
          <w:rFonts w:hint="eastAsia" w:ascii="仿宋" w:hAnsi="仿宋" w:eastAsia="仿宋" w:cs="仿宋"/>
          <w:b/>
          <w:bCs/>
          <w:color w:val="auto"/>
          <w:sz w:val="30"/>
          <w:szCs w:val="30"/>
          <w:highlight w:val="none"/>
          <w:lang w:val="en-US" w:eastAsia="zh-CN"/>
        </w:rPr>
        <w:t>3、</w:t>
      </w:r>
      <w:r>
        <w:rPr>
          <w:rFonts w:hint="eastAsia" w:ascii="仿宋" w:hAnsi="仿宋" w:eastAsia="仿宋" w:cs="仿宋"/>
          <w:b/>
          <w:bCs/>
          <w:color w:val="auto"/>
          <w:sz w:val="30"/>
          <w:szCs w:val="30"/>
          <w:highlight w:val="none"/>
        </w:rPr>
        <w:t>配合政策</w:t>
      </w:r>
      <w:r>
        <w:rPr>
          <w:rFonts w:hint="eastAsia" w:ascii="仿宋" w:hAnsi="仿宋" w:eastAsia="仿宋" w:cs="仿宋"/>
          <w:b/>
          <w:bCs/>
          <w:color w:val="auto"/>
          <w:sz w:val="30"/>
          <w:szCs w:val="30"/>
          <w:highlight w:val="none"/>
          <w:lang w:eastAsia="zh-CN"/>
        </w:rPr>
        <w:t>兑现落实。</w:t>
      </w:r>
      <w:r>
        <w:rPr>
          <w:rFonts w:hint="eastAsia" w:ascii="仿宋" w:hAnsi="仿宋" w:eastAsia="仿宋" w:cs="仿宋"/>
          <w:color w:val="auto"/>
          <w:sz w:val="30"/>
          <w:szCs w:val="30"/>
          <w:highlight w:val="none"/>
        </w:rPr>
        <w:t>协会配合市科技局完成对2021-2022年通过认定的2700多家高企兑现市级财政奖励超4.1亿元。</w:t>
      </w:r>
    </w:p>
    <w:p>
      <w:pPr>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t>4、提供便利化服务。</w:t>
      </w:r>
      <w:r>
        <w:rPr>
          <w:rFonts w:hint="eastAsia" w:ascii="仿宋" w:hAnsi="仿宋" w:eastAsia="仿宋" w:cs="仿宋"/>
          <w:color w:val="auto"/>
          <w:sz w:val="30"/>
          <w:szCs w:val="30"/>
          <w:highlight w:val="none"/>
        </w:rPr>
        <w:t>为方便会员办事，协会推出了多项定制化在线服务，可为会员提供电子报名、辅导业务网上预约、直播培训、线上收据等各种便利化服务。</w:t>
      </w:r>
      <w:r>
        <w:rPr>
          <w:rFonts w:hint="eastAsia" w:ascii="仿宋" w:hAnsi="仿宋" w:eastAsia="仿宋" w:cs="仿宋"/>
          <w:color w:val="auto"/>
          <w:sz w:val="30"/>
          <w:szCs w:val="30"/>
          <w:highlight w:val="none"/>
          <w:lang w:val="en-US" w:eastAsia="zh-CN"/>
        </w:rPr>
        <w:t>2023年，协会共推送相关政策信息、政策解读70余篇，其中数篇阅读量破万；为3400多家企业提供网上预约培训等服务，1500多家企业通过电子收据兑现相关政策。目前协会微信公众号关注人数已超2.3万人。</w:t>
      </w:r>
    </w:p>
    <w:p>
      <w:pPr>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val="en-US" w:eastAsia="zh-CN"/>
        </w:rPr>
        <w:t>5、发挥桥梁纽带作用。</w:t>
      </w:r>
      <w:r>
        <w:rPr>
          <w:rFonts w:hint="eastAsia" w:ascii="仿宋" w:hAnsi="仿宋" w:eastAsia="仿宋" w:cs="仿宋"/>
          <w:color w:val="auto"/>
          <w:sz w:val="30"/>
          <w:szCs w:val="30"/>
        </w:rPr>
        <w:t>2021年，协会在广泛征求会员意见的基础上，向市科技局提出对高新技术企业给予扶持建议，得到了市科技局、市财政局的响应，</w:t>
      </w:r>
      <w:r>
        <w:rPr>
          <w:rFonts w:hint="eastAsia" w:ascii="仿宋" w:hAnsi="仿宋" w:eastAsia="仿宋" w:cs="仿宋"/>
          <w:color w:val="auto"/>
          <w:sz w:val="30"/>
          <w:szCs w:val="30"/>
          <w:lang w:eastAsia="zh-CN"/>
        </w:rPr>
        <w:t>配合市科技局推动</w:t>
      </w:r>
      <w:r>
        <w:rPr>
          <w:rFonts w:hint="eastAsia" w:ascii="仿宋" w:hAnsi="仿宋" w:eastAsia="仿宋" w:cs="仿宋"/>
          <w:color w:val="auto"/>
          <w:sz w:val="30"/>
          <w:szCs w:val="30"/>
        </w:rPr>
        <w:t>出台了</w:t>
      </w:r>
      <w:r>
        <w:rPr>
          <w:rFonts w:hint="eastAsia" w:ascii="仿宋" w:hAnsi="仿宋" w:eastAsia="仿宋" w:cs="仿宋"/>
          <w:color w:val="auto"/>
          <w:sz w:val="30"/>
          <w:szCs w:val="30"/>
          <w:lang w:eastAsia="zh-CN"/>
        </w:rPr>
        <w:t>我市国家级高企</w:t>
      </w:r>
      <w:r>
        <w:rPr>
          <w:rFonts w:hint="eastAsia" w:ascii="仿宋" w:hAnsi="仿宋" w:eastAsia="仿宋" w:cs="仿宋"/>
          <w:color w:val="auto"/>
          <w:sz w:val="30"/>
          <w:szCs w:val="30"/>
        </w:rPr>
        <w:t>扶持新政，首次对重新认定通过的国家级高企及外地迁入的国家级高企给予奖励，进一步提升我市国家级高企奖励额度和广度。</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协会始终不忘初心，以强烈的责任心、使命感，为会员单位提供优质服务。我们将进一步创新服务手段，拓展服务功能，努力为会员发展创造良好条件。</w:t>
      </w:r>
    </w:p>
    <w:sectPr>
      <w:pgSz w:w="11906" w:h="16838"/>
      <w:pgMar w:top="930" w:right="839" w:bottom="930" w:left="83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070D70"/>
    <w:multiLevelType w:val="singleLevel"/>
    <w:tmpl w:val="CA070D7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iZDA2OGVhMzIxMmJmOTM0YjI1OWU0NGJiNDE1YWEifQ=="/>
  </w:docVars>
  <w:rsids>
    <w:rsidRoot w:val="004B520A"/>
    <w:rsid w:val="000F46EC"/>
    <w:rsid w:val="003B68D1"/>
    <w:rsid w:val="004B520A"/>
    <w:rsid w:val="004C3309"/>
    <w:rsid w:val="00685DA8"/>
    <w:rsid w:val="06AF2D8B"/>
    <w:rsid w:val="0B8A2AEF"/>
    <w:rsid w:val="0D3A7EF6"/>
    <w:rsid w:val="105F20D6"/>
    <w:rsid w:val="155A127A"/>
    <w:rsid w:val="18FF156C"/>
    <w:rsid w:val="1A393593"/>
    <w:rsid w:val="1BFE6842"/>
    <w:rsid w:val="1F892A00"/>
    <w:rsid w:val="20DE3BC5"/>
    <w:rsid w:val="294C07FB"/>
    <w:rsid w:val="2C3008D7"/>
    <w:rsid w:val="2CAE6D54"/>
    <w:rsid w:val="310A0EF8"/>
    <w:rsid w:val="315A0FA2"/>
    <w:rsid w:val="32FC728D"/>
    <w:rsid w:val="355C62D5"/>
    <w:rsid w:val="35EC4B4E"/>
    <w:rsid w:val="36846E1D"/>
    <w:rsid w:val="38E66C7A"/>
    <w:rsid w:val="3E6E1B23"/>
    <w:rsid w:val="3FDB1CE9"/>
    <w:rsid w:val="424F165A"/>
    <w:rsid w:val="47200371"/>
    <w:rsid w:val="49661E96"/>
    <w:rsid w:val="4A446977"/>
    <w:rsid w:val="4AC32EB3"/>
    <w:rsid w:val="4D514669"/>
    <w:rsid w:val="50AB4CA2"/>
    <w:rsid w:val="51C936D9"/>
    <w:rsid w:val="56741AD5"/>
    <w:rsid w:val="56D63B7F"/>
    <w:rsid w:val="5B7A5F48"/>
    <w:rsid w:val="645A2DD0"/>
    <w:rsid w:val="65A83BD1"/>
    <w:rsid w:val="666134E7"/>
    <w:rsid w:val="67AE78ED"/>
    <w:rsid w:val="6DEF33E3"/>
    <w:rsid w:val="70F405FE"/>
    <w:rsid w:val="73F949D4"/>
    <w:rsid w:val="7655368D"/>
    <w:rsid w:val="7CBE6B41"/>
    <w:rsid w:val="7DB22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1739</Words>
  <Characters>1794</Characters>
  <Lines>11</Lines>
  <Paragraphs>3</Paragraphs>
  <TotalTime>11</TotalTime>
  <ScaleCrop>false</ScaleCrop>
  <LinksUpToDate>false</LinksUpToDate>
  <CharactersWithSpaces>1794</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2022-04-13T02:51:00Z</dcterms:created>
  <dc:creator>Administrator</dc:creator>
  <cp:lastModifiedBy>TANGDH</cp:lastModifiedBy>
  <cp:lastPrinted>2022-06-28T09:09:00Z</cp:lastPrinted>
  <dcterms:modified xsi:type="dcterms:W3CDTF">2023-12-11T07:18:27Z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DB25DD692A9F400EBE752B27AD5CCD5C</vt:lpwstr>
  </property>
</Properties>
</file>